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7F2" w:rsidRPr="00687FEC" w:rsidRDefault="00D770A8" w:rsidP="00DC47F2">
      <w:pPr>
        <w:pBdr>
          <w:bottom w:val="single" w:sz="4" w:space="1" w:color="auto"/>
        </w:pBdr>
        <w:rPr>
          <w:rFonts w:ascii="Arial" w:hAnsi="Arial" w:cs="Arial"/>
          <w:b/>
          <w:bCs/>
          <w:sz w:val="20"/>
          <w:szCs w:val="20"/>
          <w:lang w:val="en-US"/>
        </w:rPr>
      </w:pPr>
      <w:r w:rsidRPr="00687FEC">
        <w:rPr>
          <w:rFonts w:ascii="Arial" w:hAnsi="Arial" w:cs="Arial"/>
          <w:b/>
          <w:bCs/>
          <w:sz w:val="20"/>
          <w:szCs w:val="20"/>
          <w:lang w:val="en-US"/>
        </w:rPr>
        <w:t>ANNEX – SUGGESTED INDICATORS FOR THE ME</w:t>
      </w:r>
      <w:r w:rsidR="00DC47F2" w:rsidRPr="00687FEC">
        <w:rPr>
          <w:rFonts w:ascii="Arial" w:hAnsi="Arial" w:cs="Arial"/>
          <w:b/>
          <w:bCs/>
          <w:sz w:val="20"/>
          <w:szCs w:val="20"/>
          <w:lang w:val="en-US"/>
        </w:rPr>
        <w:t>A</w:t>
      </w:r>
      <w:r w:rsidRPr="00687FEC">
        <w:rPr>
          <w:rFonts w:ascii="Arial" w:hAnsi="Arial" w:cs="Arial"/>
          <w:b/>
          <w:bCs/>
          <w:sz w:val="20"/>
          <w:szCs w:val="20"/>
          <w:lang w:val="en-US"/>
        </w:rPr>
        <w:t>SUREMENT OF ECONOMIC INTEGRATION ACTIONS</w:t>
      </w:r>
    </w:p>
    <w:p w:rsidR="00DC47F2" w:rsidRPr="00687FEC" w:rsidRDefault="00DC47F2" w:rsidP="00DC47F2">
      <w:pPr>
        <w:rPr>
          <w:rFonts w:ascii="Arial" w:hAnsi="Arial" w:cs="Arial"/>
          <w:sz w:val="20"/>
          <w:szCs w:val="20"/>
          <w:lang w:val="en-US"/>
        </w:rPr>
      </w:pPr>
      <w:r w:rsidRPr="00687FEC">
        <w:rPr>
          <w:rFonts w:ascii="Arial" w:hAnsi="Arial" w:cs="Arial"/>
          <w:sz w:val="20"/>
          <w:szCs w:val="20"/>
          <w:lang w:val="en-US"/>
        </w:rPr>
        <w:t xml:space="preserve">The proposed approach for economic integration indicators includes the following changes : </w:t>
      </w:r>
    </w:p>
    <w:p w:rsidR="00DC47F2" w:rsidRPr="00687FEC" w:rsidRDefault="00DC47F2" w:rsidP="00DC47F2">
      <w:pPr>
        <w:pStyle w:val="Prrafodelista"/>
        <w:numPr>
          <w:ilvl w:val="0"/>
          <w:numId w:val="1"/>
        </w:numPr>
        <w:rPr>
          <w:rFonts w:ascii="Arial" w:hAnsi="Arial" w:cs="Arial"/>
          <w:sz w:val="20"/>
          <w:szCs w:val="20"/>
          <w:lang w:val="en-US"/>
        </w:rPr>
      </w:pPr>
      <w:r w:rsidRPr="00687FEC">
        <w:rPr>
          <w:rFonts w:ascii="Arial" w:hAnsi="Arial" w:cs="Arial"/>
          <w:sz w:val="20"/>
          <w:szCs w:val="20"/>
          <w:lang w:val="en-US"/>
        </w:rPr>
        <w:t xml:space="preserve">Systematically measure the sustainability of all economic integration, IGA creation and professional integration processes after one year, and annually thereafter if possible (ideally, the monitoring process should include data collection on a fixed date); </w:t>
      </w:r>
    </w:p>
    <w:p w:rsidR="00DC47F2" w:rsidRPr="00687FEC" w:rsidRDefault="00DC47F2" w:rsidP="00DC47F2">
      <w:pPr>
        <w:pStyle w:val="Prrafodelista"/>
        <w:numPr>
          <w:ilvl w:val="0"/>
          <w:numId w:val="1"/>
        </w:numPr>
        <w:rPr>
          <w:rFonts w:ascii="Arial" w:hAnsi="Arial" w:cs="Arial"/>
          <w:sz w:val="20"/>
          <w:szCs w:val="20"/>
          <w:lang w:val="en-US"/>
        </w:rPr>
      </w:pPr>
      <w:r w:rsidRPr="00687FEC">
        <w:rPr>
          <w:rFonts w:ascii="Arial" w:hAnsi="Arial" w:cs="Arial"/>
          <w:sz w:val="20"/>
          <w:szCs w:val="20"/>
          <w:lang w:val="en-US"/>
        </w:rPr>
        <w:t>Measure the degre</w:t>
      </w:r>
      <w:bookmarkStart w:id="0" w:name="_GoBack"/>
      <w:bookmarkEnd w:id="0"/>
      <w:r w:rsidRPr="00687FEC">
        <w:rPr>
          <w:rFonts w:ascii="Arial" w:hAnsi="Arial" w:cs="Arial"/>
          <w:sz w:val="20"/>
          <w:szCs w:val="20"/>
          <w:lang w:val="en-US"/>
        </w:rPr>
        <w:t xml:space="preserve">e of formalization of economic integration processes and bridges between the formal and informal sectors; </w:t>
      </w:r>
    </w:p>
    <w:p w:rsidR="00DC47F2" w:rsidRPr="00687FEC" w:rsidRDefault="00DC47F2" w:rsidP="00DC47F2">
      <w:pPr>
        <w:pStyle w:val="Prrafodelista"/>
        <w:numPr>
          <w:ilvl w:val="0"/>
          <w:numId w:val="1"/>
        </w:numPr>
        <w:rPr>
          <w:rFonts w:ascii="Arial" w:hAnsi="Arial" w:cs="Arial"/>
          <w:sz w:val="20"/>
          <w:szCs w:val="20"/>
          <w:lang w:val="en-US"/>
        </w:rPr>
      </w:pPr>
      <w:r w:rsidRPr="00687FEC">
        <w:rPr>
          <w:rFonts w:ascii="Arial" w:hAnsi="Arial" w:cs="Arial"/>
          <w:sz w:val="20"/>
          <w:szCs w:val="20"/>
          <w:lang w:val="en-US"/>
        </w:rPr>
        <w:t xml:space="preserve">Measure professional integration upon completion of vocational courses; </w:t>
      </w:r>
    </w:p>
    <w:p w:rsidR="00DC47F2" w:rsidRPr="00687FEC" w:rsidRDefault="00DC47F2" w:rsidP="00DC47F2">
      <w:pPr>
        <w:pStyle w:val="Prrafodelista"/>
        <w:numPr>
          <w:ilvl w:val="0"/>
          <w:numId w:val="1"/>
        </w:numPr>
        <w:rPr>
          <w:rFonts w:ascii="Arial" w:hAnsi="Arial" w:cs="Arial"/>
          <w:sz w:val="20"/>
          <w:szCs w:val="20"/>
          <w:lang w:val="en-US"/>
        </w:rPr>
      </w:pPr>
      <w:r w:rsidRPr="00687FEC">
        <w:rPr>
          <w:rFonts w:ascii="Arial" w:hAnsi="Arial" w:cs="Arial"/>
          <w:sz w:val="20"/>
          <w:szCs w:val="20"/>
          <w:lang w:val="en-US"/>
        </w:rPr>
        <w:t xml:space="preserve">Measure efforts undertaken with businesses (contacts made by AMAPPE, refugees hired or given contracts of employment, business involvement in refugee integration activities).   </w:t>
      </w:r>
    </w:p>
    <w:tbl>
      <w:tblPr>
        <w:tblStyle w:val="TableNormal1"/>
        <w:tblW w:w="9406"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CEDDEB"/>
        <w:tblLayout w:type="fixed"/>
        <w:tblLook w:val="04A0" w:firstRow="1" w:lastRow="0" w:firstColumn="1" w:lastColumn="0" w:noHBand="0" w:noVBand="1"/>
      </w:tblPr>
      <w:tblGrid>
        <w:gridCol w:w="9406"/>
      </w:tblGrid>
      <w:tr w:rsidR="00D770A8" w:rsidRPr="00687FEC" w:rsidTr="00845D82">
        <w:trPr>
          <w:trHeight w:val="311"/>
          <w:jc w:val="center"/>
        </w:trPr>
        <w:tc>
          <w:tcPr>
            <w:tcW w:w="9406" w:type="dxa"/>
            <w:shd w:val="clear" w:color="auto" w:fill="0070C0"/>
            <w:tcMar>
              <w:top w:w="80" w:type="dxa"/>
              <w:left w:w="80" w:type="dxa"/>
              <w:bottom w:w="80" w:type="dxa"/>
              <w:right w:w="80" w:type="dxa"/>
            </w:tcMar>
            <w:vAlign w:val="center"/>
          </w:tcPr>
          <w:p w:rsidR="00D770A8" w:rsidRPr="00687FEC" w:rsidRDefault="00D770A8" w:rsidP="00845D82">
            <w:pPr>
              <w:pStyle w:val="CorpsA"/>
              <w:jc w:val="both"/>
              <w:rPr>
                <w:rFonts w:ascii="Arial" w:hAnsi="Arial" w:cs="Arial"/>
                <w:b/>
                <w:color w:val="FFFFFF" w:themeColor="background1"/>
                <w:sz w:val="20"/>
                <w:szCs w:val="20"/>
                <w:lang w:val="en-GB"/>
              </w:rPr>
            </w:pPr>
            <w:r w:rsidRPr="00687FEC">
              <w:rPr>
                <w:rFonts w:ascii="Arial" w:hAnsi="Arial" w:cs="Arial"/>
                <w:b/>
                <w:color w:val="FFFFFF" w:themeColor="background1"/>
                <w:sz w:val="20"/>
                <w:szCs w:val="20"/>
                <w:lang w:val="en-GB"/>
              </w:rPr>
              <w:t>Employment support services</w:t>
            </w:r>
          </w:p>
        </w:tc>
      </w:tr>
      <w:tr w:rsidR="00D770A8" w:rsidRPr="00687FEC" w:rsidTr="00845D82">
        <w:trPr>
          <w:trHeight w:val="293"/>
          <w:jc w:val="center"/>
        </w:trPr>
        <w:tc>
          <w:tcPr>
            <w:tcW w:w="9406" w:type="dxa"/>
            <w:shd w:val="clear" w:color="auto" w:fill="8EAADB" w:themeFill="accent1" w:themeFillTint="99"/>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b/>
                <w:color w:val="auto"/>
                <w:lang w:val="en-GB"/>
              </w:rPr>
              <w:t xml:space="preserve">General indicators </w:t>
            </w:r>
          </w:p>
        </w:tc>
      </w:tr>
      <w:tr w:rsidR="00D770A8" w:rsidRPr="00687FEC" w:rsidTr="00845D82">
        <w:trPr>
          <w:trHeight w:val="188"/>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Number of new refugees received</w:t>
            </w:r>
          </w:p>
        </w:tc>
      </w:tr>
      <w:tr w:rsidR="00D770A8" w:rsidRPr="00687FEC" w:rsidTr="00845D82">
        <w:trPr>
          <w:trHeight w:val="124"/>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Number of initial skills assessments completed</w:t>
            </w:r>
          </w:p>
        </w:tc>
      </w:tr>
      <w:tr w:rsidR="00D770A8" w:rsidRPr="00687FEC" w:rsidTr="00845D82">
        <w:trPr>
          <w:trHeight w:val="188"/>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CorpsBA"/>
              <w:rPr>
                <w:rFonts w:ascii="Arial" w:hAnsi="Arial" w:cs="Arial"/>
                <w:color w:val="auto"/>
                <w:sz w:val="20"/>
                <w:szCs w:val="20"/>
                <w:lang w:val="en-GB"/>
              </w:rPr>
            </w:pPr>
            <w:r w:rsidRPr="00687FEC">
              <w:rPr>
                <w:rFonts w:ascii="Arial" w:hAnsi="Arial" w:cs="Arial"/>
                <w:color w:val="auto"/>
                <w:sz w:val="20"/>
                <w:szCs w:val="20"/>
                <w:lang w:val="en-GB"/>
              </w:rPr>
              <w:t xml:space="preserve">Number of referrals upon completion of skills assessment (IGAs, employability) </w:t>
            </w:r>
          </w:p>
        </w:tc>
      </w:tr>
      <w:tr w:rsidR="00D770A8" w:rsidRPr="00687FEC" w:rsidTr="00845D82">
        <w:trPr>
          <w:trHeight w:val="124"/>
          <w:jc w:val="center"/>
        </w:trPr>
        <w:tc>
          <w:tcPr>
            <w:tcW w:w="9406" w:type="dxa"/>
            <w:shd w:val="clear" w:color="auto" w:fill="auto"/>
            <w:tcMar>
              <w:top w:w="80" w:type="dxa"/>
              <w:left w:w="80" w:type="dxa"/>
              <w:bottom w:w="80" w:type="dxa"/>
              <w:right w:w="80" w:type="dxa"/>
            </w:tcMar>
          </w:tcPr>
          <w:p w:rsidR="00D770A8" w:rsidRPr="00687FEC" w:rsidRDefault="00D770A8" w:rsidP="00845D82">
            <w:pPr>
              <w:pStyle w:val="CorpsBA"/>
              <w:rPr>
                <w:rFonts w:ascii="Arial" w:hAnsi="Arial" w:cs="Arial"/>
                <w:color w:val="auto"/>
                <w:sz w:val="20"/>
                <w:szCs w:val="20"/>
                <w:lang w:val="en-GB"/>
              </w:rPr>
            </w:pPr>
            <w:r w:rsidRPr="00687FEC">
              <w:rPr>
                <w:rFonts w:ascii="Arial" w:hAnsi="Arial" w:cs="Arial"/>
                <w:color w:val="auto"/>
                <w:sz w:val="20"/>
                <w:szCs w:val="20"/>
                <w:lang w:val="en-GB"/>
              </w:rPr>
              <w:t xml:space="preserve">Number of refugees referred to a vocational course </w:t>
            </w:r>
          </w:p>
        </w:tc>
      </w:tr>
      <w:tr w:rsidR="00D770A8" w:rsidRPr="00687FEC" w:rsidTr="00845D82">
        <w:trPr>
          <w:trHeight w:val="59"/>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CorpsBA"/>
              <w:rPr>
                <w:rFonts w:ascii="Arial" w:hAnsi="Arial" w:cs="Arial"/>
                <w:color w:val="auto"/>
                <w:sz w:val="20"/>
                <w:szCs w:val="20"/>
                <w:lang w:val="en-GB"/>
              </w:rPr>
            </w:pPr>
            <w:r w:rsidRPr="00687FEC">
              <w:rPr>
                <w:rFonts w:ascii="Arial" w:hAnsi="Arial" w:cs="Arial"/>
                <w:color w:val="auto"/>
                <w:sz w:val="20"/>
                <w:szCs w:val="20"/>
                <w:lang w:val="en-GB"/>
              </w:rPr>
              <w:t>Number of refugees referred to a soft skills course</w:t>
            </w:r>
          </w:p>
        </w:tc>
      </w:tr>
      <w:tr w:rsidR="00D770A8" w:rsidRPr="00687FEC" w:rsidTr="00845D82">
        <w:trPr>
          <w:trHeight w:val="330"/>
          <w:jc w:val="center"/>
        </w:trPr>
        <w:tc>
          <w:tcPr>
            <w:tcW w:w="9406" w:type="dxa"/>
            <w:shd w:val="clear" w:color="auto" w:fill="8EAADB" w:themeFill="accent1" w:themeFillTint="99"/>
            <w:tcMar>
              <w:top w:w="80" w:type="dxa"/>
              <w:left w:w="80" w:type="dxa"/>
              <w:bottom w:w="80" w:type="dxa"/>
              <w:right w:w="80" w:type="dxa"/>
            </w:tcMar>
          </w:tcPr>
          <w:p w:rsidR="00D770A8" w:rsidRPr="00687FEC" w:rsidRDefault="00D770A8" w:rsidP="00845D82">
            <w:pPr>
              <w:pStyle w:val="Styledetableau2AA"/>
              <w:rPr>
                <w:rFonts w:ascii="Arial" w:hAnsi="Arial" w:cs="Arial"/>
                <w:b/>
                <w:color w:val="auto"/>
                <w:lang w:val="en-GB"/>
              </w:rPr>
            </w:pPr>
            <w:r w:rsidRPr="00687FEC">
              <w:rPr>
                <w:rFonts w:ascii="Arial" w:hAnsi="Arial" w:cs="Arial"/>
                <w:b/>
                <w:color w:val="auto"/>
                <w:lang w:val="en-GB"/>
              </w:rPr>
              <w:t xml:space="preserve">IGAs </w:t>
            </w:r>
          </w:p>
        </w:tc>
      </w:tr>
      <w:tr w:rsidR="00D770A8" w:rsidRPr="00687FEC" w:rsidTr="00845D82">
        <w:trPr>
          <w:trHeight w:val="201"/>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feasibility studies completed </w:t>
            </w:r>
          </w:p>
        </w:tc>
      </w:tr>
      <w:tr w:rsidR="00D770A8" w:rsidRPr="00687FEC" w:rsidTr="00845D82">
        <w:trPr>
          <w:trHeight w:val="221"/>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IGAs created </w:t>
            </w:r>
          </w:p>
        </w:tc>
      </w:tr>
      <w:tr w:rsidR="00D770A8" w:rsidRPr="00687FEC" w:rsidTr="00845D82">
        <w:trPr>
          <w:trHeight w:val="227"/>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refugees benefiting from an IGA </w:t>
            </w:r>
          </w:p>
        </w:tc>
      </w:tr>
      <w:tr w:rsidR="00D770A8" w:rsidRPr="00687FEC" w:rsidTr="00845D82">
        <w:trPr>
          <w:trHeight w:val="247"/>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formal IGAs (self-employment, limited company or cooperative) </w:t>
            </w:r>
          </w:p>
        </w:tc>
      </w:tr>
      <w:tr w:rsidR="00D770A8" w:rsidRPr="00687FEC" w:rsidTr="00845D82">
        <w:trPr>
          <w:trHeight w:val="97"/>
          <w:jc w:val="center"/>
        </w:trPr>
        <w:tc>
          <w:tcPr>
            <w:tcW w:w="9406" w:type="dxa"/>
            <w:shd w:val="clear" w:color="auto" w:fill="auto"/>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informal IGAs (self-employment, “informal” cooperative activity) </w:t>
            </w:r>
          </w:p>
        </w:tc>
      </w:tr>
      <w:tr w:rsidR="00D770A8" w:rsidRPr="00687FEC" w:rsidTr="00845D82">
        <w:trPr>
          <w:trHeight w:val="245"/>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formalized IGAs (current year, previous years) </w:t>
            </w:r>
          </w:p>
        </w:tc>
      </w:tr>
      <w:tr w:rsidR="00D770A8" w:rsidRPr="00687FEC" w:rsidTr="00845D82">
        <w:trPr>
          <w:trHeight w:val="123"/>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stable IGAs (after one year) </w:t>
            </w:r>
          </w:p>
        </w:tc>
      </w:tr>
      <w:tr w:rsidR="00D770A8" w:rsidRPr="00687FEC" w:rsidTr="00845D82">
        <w:trPr>
          <w:trHeight w:val="330"/>
          <w:jc w:val="center"/>
        </w:trPr>
        <w:tc>
          <w:tcPr>
            <w:tcW w:w="9406" w:type="dxa"/>
            <w:shd w:val="clear" w:color="auto" w:fill="8EAADB" w:themeFill="accent1" w:themeFillTint="99"/>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b/>
                <w:color w:val="auto"/>
                <w:lang w:val="en-GB"/>
              </w:rPr>
              <w:t xml:space="preserve">Vocational training </w:t>
            </w:r>
          </w:p>
        </w:tc>
      </w:tr>
      <w:tr w:rsidR="00D770A8" w:rsidRPr="00687FEC" w:rsidTr="00845D82">
        <w:trPr>
          <w:trHeight w:val="207"/>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refugees referred to a vocational course (OFPPT, National Mutual Aid, others) </w:t>
            </w:r>
          </w:p>
        </w:tc>
      </w:tr>
      <w:tr w:rsidR="00D770A8" w:rsidRPr="00687FEC" w:rsidTr="00845D82">
        <w:trPr>
          <w:trHeight w:val="71"/>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refugees having completed a vocational course </w:t>
            </w:r>
          </w:p>
        </w:tc>
      </w:tr>
      <w:tr w:rsidR="00D770A8" w:rsidRPr="00687FEC" w:rsidTr="00845D82">
        <w:trPr>
          <w:trHeight w:val="233"/>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refugees having secured a placement after completing a vocational course </w:t>
            </w:r>
          </w:p>
        </w:tc>
      </w:tr>
      <w:tr w:rsidR="00D770A8" w:rsidRPr="00687FEC" w:rsidTr="00845D82">
        <w:trPr>
          <w:trHeight w:val="97"/>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refugees in paid employment (formal or informal) three months after completing a vocational course </w:t>
            </w:r>
          </w:p>
        </w:tc>
      </w:tr>
      <w:tr w:rsidR="00D770A8" w:rsidRPr="00687FEC" w:rsidTr="00845D82">
        <w:trPr>
          <w:trHeight w:val="330"/>
          <w:jc w:val="center"/>
        </w:trPr>
        <w:tc>
          <w:tcPr>
            <w:tcW w:w="9406" w:type="dxa"/>
            <w:shd w:val="clear" w:color="auto" w:fill="8EAADB" w:themeFill="accent1" w:themeFillTint="99"/>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b/>
                <w:color w:val="auto"/>
                <w:lang w:val="en-GB"/>
              </w:rPr>
              <w:t>E</w:t>
            </w:r>
            <w:r w:rsidRPr="00687FEC">
              <w:rPr>
                <w:rFonts w:ascii="Arial" w:hAnsi="Arial" w:cs="Arial"/>
                <w:b/>
                <w:color w:val="auto"/>
                <w:bdr w:val="none" w:sz="0" w:space="0" w:color="auto"/>
                <w:shd w:val="clear" w:color="auto" w:fill="8EAADB" w:themeFill="accent1" w:themeFillTint="99"/>
                <w:lang w:val="en-GB"/>
              </w:rPr>
              <w:t xml:space="preserve">mployability </w:t>
            </w:r>
          </w:p>
        </w:tc>
      </w:tr>
      <w:tr w:rsidR="00D770A8" w:rsidRPr="00687FEC" w:rsidTr="00845D82">
        <w:trPr>
          <w:trHeight w:val="39"/>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refugees working in the formal sector </w:t>
            </w:r>
          </w:p>
        </w:tc>
      </w:tr>
      <w:tr w:rsidR="00D770A8" w:rsidRPr="00687FEC" w:rsidTr="00845D82">
        <w:trPr>
          <w:trHeight w:val="187"/>
          <w:jc w:val="center"/>
        </w:trPr>
        <w:tc>
          <w:tcPr>
            <w:tcW w:w="9406" w:type="dxa"/>
            <w:shd w:val="clear" w:color="auto" w:fill="auto"/>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refugees working in the informal sector </w:t>
            </w:r>
          </w:p>
        </w:tc>
      </w:tr>
      <w:tr w:rsidR="00D770A8" w:rsidRPr="00687FEC" w:rsidTr="00845D82">
        <w:trPr>
          <w:trHeight w:val="51"/>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businesses visited by AMAPPE careers advisers </w:t>
            </w:r>
          </w:p>
        </w:tc>
      </w:tr>
      <w:tr w:rsidR="00D770A8" w:rsidRPr="00687FEC" w:rsidTr="00845D82">
        <w:trPr>
          <w:trHeight w:val="71"/>
          <w:jc w:val="center"/>
        </w:trPr>
        <w:tc>
          <w:tcPr>
            <w:tcW w:w="9406" w:type="dxa"/>
            <w:shd w:val="clear" w:color="auto" w:fill="auto"/>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lastRenderedPageBreak/>
              <w:t>Number of vacancies shared with AMAPPE/UNHCR</w:t>
            </w:r>
          </w:p>
        </w:tc>
      </w:tr>
      <w:tr w:rsidR="00D770A8" w:rsidRPr="00687FEC" w:rsidTr="00845D82">
        <w:trPr>
          <w:trHeight w:val="219"/>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businesses employing refugees (formal sector, informal sector) </w:t>
            </w:r>
          </w:p>
        </w:tc>
      </w:tr>
      <w:tr w:rsidR="00D770A8" w:rsidRPr="00687FEC" w:rsidTr="00845D82">
        <w:trPr>
          <w:trHeight w:val="97"/>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businesses with a refugee integration agreement with AMAPPE/UNHCR </w:t>
            </w:r>
          </w:p>
        </w:tc>
      </w:tr>
      <w:tr w:rsidR="00D770A8" w:rsidRPr="00687FEC" w:rsidTr="00845D82">
        <w:trPr>
          <w:trHeight w:val="103"/>
          <w:jc w:val="center"/>
        </w:trPr>
        <w:tc>
          <w:tcPr>
            <w:tcW w:w="9406" w:type="dxa"/>
            <w:shd w:val="clear" w:color="auto" w:fill="FFFFFF"/>
            <w:tcMar>
              <w:top w:w="80" w:type="dxa"/>
              <w:left w:w="80" w:type="dxa"/>
              <w:bottom w:w="80" w:type="dxa"/>
              <w:right w:w="80" w:type="dxa"/>
            </w:tcMar>
          </w:tcPr>
          <w:p w:rsidR="00D770A8" w:rsidRPr="00687FEC" w:rsidRDefault="00D770A8" w:rsidP="00845D82">
            <w:pPr>
              <w:pStyle w:val="Styledetableau2AA"/>
              <w:rPr>
                <w:rFonts w:ascii="Arial" w:hAnsi="Arial" w:cs="Arial"/>
                <w:color w:val="auto"/>
                <w:lang w:val="en-GB"/>
              </w:rPr>
            </w:pPr>
            <w:r w:rsidRPr="00687FEC">
              <w:rPr>
                <w:rFonts w:ascii="Arial" w:hAnsi="Arial" w:cs="Arial"/>
                <w:color w:val="auto"/>
                <w:lang w:val="en-GB"/>
              </w:rPr>
              <w:t xml:space="preserve">Number of refugees still employed in their host business (after one year) (formal and informal) </w:t>
            </w:r>
          </w:p>
        </w:tc>
      </w:tr>
    </w:tbl>
    <w:p w:rsidR="00D770A8" w:rsidRPr="00687FEC" w:rsidRDefault="00D770A8">
      <w:pPr>
        <w:rPr>
          <w:rFonts w:ascii="Arial" w:hAnsi="Arial" w:cs="Arial"/>
          <w:sz w:val="20"/>
          <w:szCs w:val="20"/>
          <w:lang w:val="en-US"/>
        </w:rPr>
      </w:pPr>
    </w:p>
    <w:sectPr w:rsidR="00D770A8" w:rsidRPr="00687FEC" w:rsidSect="00A17854">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BE7A41"/>
    <w:multiLevelType w:val="hybridMultilevel"/>
    <w:tmpl w:val="BA4C73CA"/>
    <w:lvl w:ilvl="0" w:tplc="0C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0A8"/>
    <w:rsid w:val="00176484"/>
    <w:rsid w:val="001C5BD5"/>
    <w:rsid w:val="001E4FF3"/>
    <w:rsid w:val="00255D52"/>
    <w:rsid w:val="00296CF0"/>
    <w:rsid w:val="0037229F"/>
    <w:rsid w:val="004A7712"/>
    <w:rsid w:val="005942F0"/>
    <w:rsid w:val="00604433"/>
    <w:rsid w:val="00687FEC"/>
    <w:rsid w:val="006C18D8"/>
    <w:rsid w:val="006D764D"/>
    <w:rsid w:val="00761664"/>
    <w:rsid w:val="00832802"/>
    <w:rsid w:val="00881081"/>
    <w:rsid w:val="00920576"/>
    <w:rsid w:val="00A17854"/>
    <w:rsid w:val="00BE39EF"/>
    <w:rsid w:val="00D770A8"/>
    <w:rsid w:val="00DC47F2"/>
    <w:rsid w:val="00EB7F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81081C-BC0A-4F47-B9C0-58C16EB07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Calibri Light"/>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0A8"/>
    <w:pPr>
      <w:spacing w:after="160" w:line="259" w:lineRule="auto"/>
    </w:pPr>
    <w:rPr>
      <w:rFonts w:cstheme="minorBidi"/>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psA">
    <w:name w:val="Corps A"/>
    <w:rsid w:val="00D770A8"/>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eastAsia="fr-FR"/>
    </w:rPr>
  </w:style>
  <w:style w:type="table" w:customStyle="1" w:styleId="TableNormal1">
    <w:name w:val="Table Normal1"/>
    <w:rsid w:val="00D770A8"/>
    <w:pPr>
      <w:pBdr>
        <w:top w:val="nil"/>
        <w:left w:val="nil"/>
        <w:bottom w:val="nil"/>
        <w:right w:val="nil"/>
        <w:between w:val="nil"/>
        <w:bar w:val="nil"/>
      </w:pBdr>
    </w:pPr>
    <w:rPr>
      <w:rFonts w:ascii="Times New Roman" w:eastAsia="Arial Unicode MS" w:hAnsi="Times New Roman" w:cs="Times New Roman"/>
      <w:sz w:val="20"/>
      <w:szCs w:val="20"/>
      <w:bdr w:val="nil"/>
      <w:lang w:val="fr-FR" w:eastAsia="fr-FR"/>
    </w:rPr>
    <w:tblPr>
      <w:tblInd w:w="0" w:type="dxa"/>
      <w:tblCellMar>
        <w:top w:w="0" w:type="dxa"/>
        <w:left w:w="0" w:type="dxa"/>
        <w:bottom w:w="0" w:type="dxa"/>
        <w:right w:w="0" w:type="dxa"/>
      </w:tblCellMar>
    </w:tblPr>
  </w:style>
  <w:style w:type="paragraph" w:customStyle="1" w:styleId="Styledetableau2AA">
    <w:name w:val="Style de tableau 2 A A"/>
    <w:rsid w:val="00D770A8"/>
    <w:pPr>
      <w:pBdr>
        <w:top w:val="nil"/>
        <w:left w:val="nil"/>
        <w:bottom w:val="nil"/>
        <w:right w:val="nil"/>
        <w:between w:val="nil"/>
        <w:bar w:val="nil"/>
      </w:pBdr>
    </w:pPr>
    <w:rPr>
      <w:rFonts w:ascii="Helvetica" w:eastAsia="Arial Unicode MS" w:hAnsi="Helvetica" w:cs="Arial Unicode MS"/>
      <w:color w:val="000000"/>
      <w:sz w:val="20"/>
      <w:szCs w:val="20"/>
      <w:u w:color="000000"/>
      <w:bdr w:val="nil"/>
      <w:lang w:val="en-US" w:eastAsia="fr-FR"/>
    </w:rPr>
  </w:style>
  <w:style w:type="paragraph" w:customStyle="1" w:styleId="CorpsBA">
    <w:name w:val="Corps B A"/>
    <w:rsid w:val="00D770A8"/>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eastAsia="fr-FR"/>
    </w:rPr>
  </w:style>
  <w:style w:type="paragraph" w:styleId="Prrafodelista">
    <w:name w:val="List Paragraph"/>
    <w:basedOn w:val="Normal"/>
    <w:uiPriority w:val="34"/>
    <w:qFormat/>
    <w:rsid w:val="00DC47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358</Words>
  <Characters>1975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 Grau</dc:creator>
  <cp:keywords/>
  <dc:description/>
  <cp:lastModifiedBy>Enric Grau</cp:lastModifiedBy>
  <cp:revision>3</cp:revision>
  <dcterms:created xsi:type="dcterms:W3CDTF">2019-10-28T16:21:00Z</dcterms:created>
  <dcterms:modified xsi:type="dcterms:W3CDTF">2019-11-01T18:00:00Z</dcterms:modified>
</cp:coreProperties>
</file>